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保险</w:t>
      </w:r>
      <w:r>
        <w:rPr>
          <w:rFonts w:hint="eastAsia"/>
          <w:b/>
          <w:sz w:val="40"/>
          <w:lang w:eastAsia="zh-CN"/>
        </w:rPr>
        <w:t>理赔、其他相关服务</w:t>
      </w:r>
      <w:r>
        <w:rPr>
          <w:rFonts w:hint="eastAsia"/>
          <w:b/>
          <w:sz w:val="40"/>
        </w:rPr>
        <w:t>方案</w:t>
      </w:r>
    </w:p>
    <w:p>
      <w:pPr>
        <w:jc w:val="center"/>
        <w:rPr>
          <w:b/>
          <w:sz w:val="40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项目名称</w:t>
      </w:r>
      <w:r>
        <w:rPr>
          <w:rFonts w:hint="eastAsia" w:ascii="黑体" w:hAnsi="黑体" w:eastAsia="黑体"/>
          <w:sz w:val="28"/>
          <w:szCs w:val="28"/>
        </w:rPr>
        <w:t>：保险理赔、其他</w:t>
      </w:r>
      <w:r>
        <w:rPr>
          <w:rFonts w:hint="eastAsia" w:ascii="黑体" w:hAnsi="黑体" w:eastAsia="黑体"/>
          <w:sz w:val="28"/>
          <w:szCs w:val="28"/>
          <w:lang w:eastAsia="zh-CN"/>
        </w:rPr>
        <w:t>相关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服务</w:t>
      </w:r>
    </w:p>
    <w:p>
      <w:pPr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保险方案一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spacing w:line="400" w:lineRule="exact"/>
        <w:ind w:firstLine="480" w:firstLineChars="200"/>
        <w:rPr>
          <w:rFonts w:ascii="黑体" w:hAnsi="黑体" w:eastAsia="黑体"/>
          <w:sz w:val="24"/>
          <w:szCs w:val="25"/>
        </w:rPr>
      </w:pPr>
      <w:r>
        <w:rPr>
          <w:rFonts w:hint="eastAsia" w:ascii="黑体" w:hAnsi="黑体" w:eastAsia="黑体"/>
          <w:sz w:val="24"/>
          <w:szCs w:val="28"/>
        </w:rPr>
        <w:t>根据理赔保障项目给予报价</w:t>
      </w:r>
    </w:p>
    <w:tbl>
      <w:tblPr>
        <w:tblStyle w:val="2"/>
        <w:tblW w:w="91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3468"/>
        <w:gridCol w:w="1301"/>
        <w:gridCol w:w="1444"/>
        <w:gridCol w:w="1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保险保障</w:t>
            </w:r>
          </w:p>
        </w:tc>
        <w:tc>
          <w:tcPr>
            <w:tcW w:w="766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赔付比例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医疗费用支出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保额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给付比例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61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住院医疗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6年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（有医保）</w:t>
            </w:r>
          </w:p>
        </w:tc>
        <w:tc>
          <w:tcPr>
            <w:tcW w:w="4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人民币 200 元以上至 100000 元（含）部分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100,000.00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重大疾病</w:t>
            </w:r>
          </w:p>
        </w:tc>
        <w:tc>
          <w:tcPr>
            <w:tcW w:w="346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经医院诊断初次罹患非先天性、非遗传性白血病、恶性淋巴瘤、再生障碍性贫血、恶性母细胞瘤、骨髓异常增生综合征、噬血细胞综合征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确诊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300,000.00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3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移植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100,000.00</w:t>
            </w: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保险方案二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spacing w:line="400" w:lineRule="exact"/>
        <w:ind w:firstLine="482" w:firstLineChars="200"/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保费</w:t>
      </w:r>
      <w:r>
        <w:rPr>
          <w:rFonts w:hint="eastAsia" w:ascii="黑体" w:hAnsi="黑体" w:eastAsia="黑体"/>
          <w:sz w:val="24"/>
          <w:szCs w:val="28"/>
        </w:rPr>
        <w:t>：850元</w:t>
      </w:r>
    </w:p>
    <w:p>
      <w:pPr>
        <w:spacing w:line="400" w:lineRule="exact"/>
        <w:ind w:firstLine="482" w:firstLineChars="200"/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年限</w:t>
      </w:r>
      <w:r>
        <w:rPr>
          <w:rFonts w:hint="eastAsia" w:ascii="黑体" w:hAnsi="黑体" w:eastAsia="黑体"/>
          <w:sz w:val="24"/>
          <w:szCs w:val="28"/>
        </w:rPr>
        <w:t>：20年</w:t>
      </w:r>
    </w:p>
    <w:p>
      <w:pPr>
        <w:spacing w:line="400" w:lineRule="exact"/>
        <w:ind w:firstLine="482" w:firstLineChars="200"/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保障项目</w:t>
      </w:r>
      <w:r>
        <w:rPr>
          <w:rFonts w:hint="eastAsia" w:ascii="黑体" w:hAnsi="黑体" w:eastAsia="黑体"/>
          <w:sz w:val="24"/>
          <w:szCs w:val="28"/>
        </w:rPr>
        <w:t>：普通住院医疗、重大疾病</w:t>
      </w:r>
      <w:r>
        <w:rPr>
          <w:rFonts w:hint="eastAsia" w:ascii="黑体" w:hAnsi="黑体" w:eastAsia="黑体"/>
          <w:sz w:val="24"/>
          <w:szCs w:val="25"/>
        </w:rPr>
        <w:t>（不限于）</w:t>
      </w:r>
    </w:p>
    <w:p>
      <w:pPr>
        <w:spacing w:line="400" w:lineRule="exact"/>
        <w:ind w:firstLine="480" w:firstLineChars="200"/>
        <w:rPr>
          <w:rFonts w:ascii="黑体" w:hAnsi="黑体" w:eastAsia="黑体"/>
          <w:sz w:val="24"/>
          <w:szCs w:val="25"/>
        </w:rPr>
      </w:pPr>
      <w:r>
        <w:rPr>
          <w:rFonts w:hint="eastAsia" w:ascii="黑体" w:hAnsi="黑体" w:eastAsia="黑体"/>
          <w:sz w:val="24"/>
          <w:szCs w:val="25"/>
        </w:rPr>
        <w:t>根据以上三项要求，请制定适用于我司的保险保障方案。</w:t>
      </w:r>
    </w:p>
    <w:p>
      <w:pPr>
        <w:spacing w:line="4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其他服务要求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spacing w:line="400" w:lineRule="exact"/>
        <w:ind w:firstLine="420" w:firstLine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1、提供电子保单；</w:t>
      </w:r>
    </w:p>
    <w:p>
      <w:pPr>
        <w:spacing w:line="400" w:lineRule="exact"/>
        <w:ind w:firstLine="420" w:firstLine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2、5000元以内线上快捷理赔；</w:t>
      </w:r>
    </w:p>
    <w:p>
      <w:pPr>
        <w:spacing w:line="400" w:lineRule="exact"/>
        <w:ind w:firstLine="420" w:firstLine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3、提供专人服务支持；</w:t>
      </w:r>
    </w:p>
    <w:p>
      <w:pPr>
        <w:spacing w:line="400" w:lineRule="exact"/>
        <w:ind w:firstLine="420" w:firstLineChars="15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4、提供专业培训支持；</w:t>
      </w:r>
    </w:p>
    <w:p>
      <w:pPr>
        <w:spacing w:line="400" w:lineRule="exact"/>
        <w:ind w:firstLine="420" w:firstLine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5、提供可查询信息接口对接；</w:t>
      </w:r>
    </w:p>
    <w:p>
      <w:pPr>
        <w:spacing w:line="400" w:lineRule="exact"/>
        <w:ind w:firstLine="420" w:firstLineChars="1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6、其他可提供的增值服务；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48"/>
    <w:rsid w:val="002F0D7C"/>
    <w:rsid w:val="00477A57"/>
    <w:rsid w:val="006103C3"/>
    <w:rsid w:val="009C38E1"/>
    <w:rsid w:val="00A0117A"/>
    <w:rsid w:val="00D04385"/>
    <w:rsid w:val="00E55F3F"/>
    <w:rsid w:val="00E954F2"/>
    <w:rsid w:val="00F00479"/>
    <w:rsid w:val="00F13248"/>
    <w:rsid w:val="00FE2AFE"/>
    <w:rsid w:val="41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58</Words>
  <Characters>332</Characters>
  <Lines>2</Lines>
  <Paragraphs>1</Paragraphs>
  <TotalTime>34</TotalTime>
  <ScaleCrop>false</ScaleCrop>
  <LinksUpToDate>false</LinksUpToDate>
  <CharactersWithSpaces>389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2019-10-22T01:59:00Z</dcterms:created>
  <dc:creator>Administrator</dc:creator>
  <cp:lastModifiedBy>虎头王字照</cp:lastModifiedBy>
  <dcterms:modified xsi:type="dcterms:W3CDTF">2019-10-23T03:15:11Z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